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8E9" w:rsidRPr="00C71720" w:rsidRDefault="006B3286" w:rsidP="00C71720">
      <w:pPr>
        <w:jc w:val="right"/>
        <w:rPr>
          <w:b/>
          <w:szCs w:val="20"/>
        </w:rPr>
      </w:pPr>
      <w:r>
        <w:rPr>
          <w:b/>
          <w:szCs w:val="20"/>
        </w:rPr>
        <w:t>CPG(13)010 Annex 12</w:t>
      </w:r>
      <w:bookmarkStart w:id="0" w:name="_GoBack"/>
      <w:bookmarkEnd w:id="0"/>
    </w:p>
    <w:p w:rsidR="008018E9" w:rsidRPr="00005CA4" w:rsidRDefault="008018E9" w:rsidP="008018E9">
      <w:pPr>
        <w:rPr>
          <w:b/>
          <w:color w:val="C00000"/>
        </w:rPr>
      </w:pPr>
      <w:r w:rsidRPr="00005CA4">
        <w:rPr>
          <w:b/>
          <w:color w:val="C00000"/>
        </w:rPr>
        <w:t xml:space="preserve">DRAFT CEPT BRIEF ON AGENDA ITEM </w:t>
      </w:r>
      <w:r>
        <w:rPr>
          <w:b/>
          <w:color w:val="C00000"/>
        </w:rPr>
        <w:t>7</w:t>
      </w:r>
      <w:r w:rsidRPr="00005CA4">
        <w:rPr>
          <w:b/>
          <w:color w:val="C00000"/>
        </w:rPr>
        <w:t xml:space="preserve"> </w:t>
      </w:r>
    </w:p>
    <w:p w:rsidR="008018E9" w:rsidRPr="0029448B" w:rsidRDefault="008018E9" w:rsidP="008018E9"/>
    <w:p w:rsidR="008018E9" w:rsidRPr="00A542CA" w:rsidRDefault="008018E9" w:rsidP="008018E9">
      <w:pPr>
        <w:pStyle w:val="ECCParagraph"/>
        <w:rPr>
          <w:lang w:val="en-US"/>
        </w:rPr>
      </w:pPr>
      <w:r>
        <w:rPr>
          <w:lang w:val="en-US"/>
        </w:rPr>
        <w:t>7</w:t>
      </w:r>
      <w:r w:rsidRPr="00A542CA">
        <w:rPr>
          <w:lang w:val="en-US"/>
        </w:rPr>
        <w:tab/>
      </w:r>
      <w:r>
        <w:t xml:space="preserve">to consider possible changes, and other options, in response to Resolution 86 (Rev. Marrakesh, 2002) of the Plenipotentiary Conference, an advance publication, coordination, notification and recording procedures for frequency assignments pertaining to satellite networks, in accordance with Resolution </w:t>
      </w:r>
      <w:r>
        <w:rPr>
          <w:b/>
          <w:bCs/>
        </w:rPr>
        <w:t xml:space="preserve">86 </w:t>
      </w:r>
      <w:r>
        <w:rPr>
          <w:b/>
          <w:bCs/>
          <w:lang w:eastAsia="ja-JP"/>
        </w:rPr>
        <w:t>(Rev.WRC</w:t>
      </w:r>
      <w:r>
        <w:rPr>
          <w:b/>
          <w:bCs/>
          <w:lang w:eastAsia="ja-JP"/>
        </w:rPr>
        <w:noBreakHyphen/>
        <w:t>07)</w:t>
      </w:r>
      <w:r>
        <w:rPr>
          <w:lang w:eastAsia="ja-JP"/>
        </w:rPr>
        <w:t xml:space="preserve"> to facilitate rational, efficient, and economical use of radio frequencies and any associated orbits, including the geostationary</w:t>
      </w:r>
      <w:r>
        <w:rPr>
          <w:lang w:eastAsia="ja-JP"/>
        </w:rPr>
        <w:noBreakHyphen/>
        <w:t>satellite orbit</w:t>
      </w:r>
      <w:r w:rsidR="000E19B2">
        <w:rPr>
          <w:lang w:eastAsia="ja-JP"/>
        </w:rPr>
        <w:t>.</w:t>
      </w:r>
    </w:p>
    <w:p w:rsidR="008018E9" w:rsidRDefault="008018E9" w:rsidP="008018E9">
      <w:pPr>
        <w:pStyle w:val="Heading1"/>
      </w:pPr>
      <w:r>
        <w:t>ISSUE</w:t>
      </w:r>
    </w:p>
    <w:p w:rsidR="008018E9" w:rsidRPr="004A5EA2" w:rsidRDefault="008018E9" w:rsidP="008018E9">
      <w:r w:rsidRPr="004A5EA2">
        <w:t xml:space="preserve">Resolution </w:t>
      </w:r>
      <w:r w:rsidRPr="004A5EA2">
        <w:rPr>
          <w:b/>
        </w:rPr>
        <w:t>86 (Rev. WRC-07)</w:t>
      </w:r>
      <w:r w:rsidRPr="004A5EA2">
        <w:t xml:space="preserve"> “Implementation of Resolution 86 (Rev. Marrakesh, 2002) of the Plenipotentiary Conference”  </w:t>
      </w:r>
    </w:p>
    <w:p w:rsidR="008018E9" w:rsidRPr="004A5EA2" w:rsidRDefault="008018E9" w:rsidP="008018E9"/>
    <w:p w:rsidR="008018E9" w:rsidRPr="004A5EA2" w:rsidRDefault="008018E9" w:rsidP="008018E9">
      <w:pPr>
        <w:rPr>
          <w:i/>
        </w:rPr>
      </w:pPr>
      <w:r w:rsidRPr="004A5EA2">
        <w:rPr>
          <w:i/>
        </w:rPr>
        <w:t>resolves to invite future WRCs</w:t>
      </w:r>
    </w:p>
    <w:p w:rsidR="008018E9" w:rsidRPr="004A5EA2" w:rsidRDefault="008018E9" w:rsidP="008018E9">
      <w:pPr>
        <w:ind w:left="720" w:hanging="360"/>
        <w:rPr>
          <w:color w:val="000000"/>
        </w:rPr>
      </w:pPr>
      <w:r w:rsidRPr="004A5EA2">
        <w:rPr>
          <w:color w:val="000000"/>
        </w:rPr>
        <w:t>1</w:t>
      </w:r>
      <w:r w:rsidRPr="004A5EA2">
        <w:rPr>
          <w:color w:val="000000"/>
        </w:rPr>
        <w:tab/>
        <w:t xml:space="preserve">to consider any proposals which deal with deficiencies and improvements in the advance publication, coordination, notification and recording procedures of the Radio Regulations for frequency assignments pertaining to space services which have either been identified by the Board and included in the Rules of Procedure or which have been identified by </w:t>
      </w:r>
      <w:smartTag w:uri="urn:schemas-microsoft-com:office:smarttags" w:element="PersonName">
        <w:r w:rsidRPr="004A5EA2">
          <w:rPr>
            <w:color w:val="000000"/>
          </w:rPr>
          <w:t>admin</w:t>
        </w:r>
      </w:smartTag>
      <w:r w:rsidRPr="004A5EA2">
        <w:rPr>
          <w:color w:val="000000"/>
        </w:rPr>
        <w:t>istrations or by the Radiocommunication Bureau, as appropriate;</w:t>
      </w:r>
    </w:p>
    <w:p w:rsidR="008018E9" w:rsidRPr="004A5EA2" w:rsidRDefault="008018E9" w:rsidP="008018E9">
      <w:pPr>
        <w:ind w:left="720" w:hanging="360"/>
        <w:rPr>
          <w:color w:val="000000"/>
        </w:rPr>
      </w:pPr>
      <w:r w:rsidRPr="004A5EA2">
        <w:rPr>
          <w:color w:val="000000"/>
        </w:rPr>
        <w:t>2</w:t>
      </w:r>
      <w:r w:rsidRPr="004A5EA2">
        <w:rPr>
          <w:color w:val="000000"/>
        </w:rPr>
        <w:tab/>
        <w:t>to ensure that these procedures and the related appendices of the Radio Regulations reflect the latest technologies, as far as possible,</w:t>
      </w:r>
    </w:p>
    <w:p w:rsidR="008018E9" w:rsidRPr="004A5EA2" w:rsidRDefault="008018E9" w:rsidP="008018E9">
      <w:pPr>
        <w:rPr>
          <w:i/>
          <w:color w:val="000000"/>
        </w:rPr>
      </w:pPr>
    </w:p>
    <w:p w:rsidR="008018E9" w:rsidRPr="004A5EA2" w:rsidRDefault="008018E9" w:rsidP="008018E9">
      <w:pPr>
        <w:rPr>
          <w:i/>
          <w:color w:val="000000"/>
        </w:rPr>
      </w:pPr>
      <w:r w:rsidRPr="004A5EA2">
        <w:rPr>
          <w:i/>
          <w:color w:val="000000"/>
        </w:rPr>
        <w:t>and invites administrations</w:t>
      </w:r>
    </w:p>
    <w:p w:rsidR="008018E9" w:rsidRPr="004A5EA2" w:rsidRDefault="008018E9" w:rsidP="008018E9">
      <w:pPr>
        <w:ind w:left="720"/>
      </w:pPr>
      <w:r w:rsidRPr="004A5EA2">
        <w:t>to consider, in preparing for PP-10, appropriate action with regard to Resolution 86 (Rev. Marrakesh, 2002).</w:t>
      </w:r>
    </w:p>
    <w:p w:rsidR="008018E9" w:rsidRDefault="008018E9" w:rsidP="008018E9">
      <w:pPr>
        <w:pStyle w:val="Heading1"/>
      </w:pPr>
      <w:r w:rsidRPr="00B35593">
        <w:t>Preliminary CEPT position</w:t>
      </w:r>
      <w:r>
        <w:t xml:space="preserve"> </w:t>
      </w:r>
    </w:p>
    <w:p w:rsidR="008018E9" w:rsidRDefault="005617BF" w:rsidP="008018E9">
      <w:pPr>
        <w:pStyle w:val="ECCParagraph"/>
      </w:pPr>
      <w:r>
        <w:t>TBD</w:t>
      </w:r>
    </w:p>
    <w:p w:rsidR="008018E9" w:rsidRDefault="008018E9" w:rsidP="008018E9">
      <w:pPr>
        <w:pStyle w:val="Heading1"/>
      </w:pPr>
      <w:r w:rsidRPr="005F007F">
        <w:t xml:space="preserve">Background </w:t>
      </w:r>
    </w:p>
    <w:p w:rsidR="005617BF" w:rsidRPr="004A5EA2" w:rsidRDefault="005617BF" w:rsidP="005617BF">
      <w:pPr>
        <w:pStyle w:val="BodyText"/>
        <w:spacing w:before="0"/>
        <w:rPr>
          <w:rFonts w:ascii="Arial" w:hAnsi="Arial" w:cs="Arial"/>
          <w:sz w:val="20"/>
        </w:rPr>
      </w:pPr>
      <w:r w:rsidRPr="004A5EA2">
        <w:rPr>
          <w:rFonts w:ascii="Arial" w:hAnsi="Arial" w:cs="Arial"/>
          <w:sz w:val="20"/>
        </w:rPr>
        <w:t>In response to Resolution 86 (Rev. Marrakesh, 2002), WRC-03 adopted Resolution 86, which resolved that the scope and criteria of Resolution 86 (Rev. Marrakesh, 2002) of the Plenipotentiary Conference to be considered by future WRCs were as follows:</w:t>
      </w:r>
    </w:p>
    <w:p w:rsidR="005617BF" w:rsidRPr="004A5EA2" w:rsidRDefault="005617BF" w:rsidP="005617BF">
      <w:pPr>
        <w:rPr>
          <w:rFonts w:cs="Arial"/>
          <w:szCs w:val="20"/>
        </w:rPr>
      </w:pPr>
      <w:r w:rsidRPr="004A5EA2">
        <w:rPr>
          <w:rFonts w:cs="Arial"/>
          <w:szCs w:val="20"/>
        </w:rPr>
        <w:t>1</w:t>
      </w:r>
      <w:r w:rsidRPr="004A5EA2">
        <w:rPr>
          <w:rFonts w:cs="Arial"/>
          <w:szCs w:val="20"/>
        </w:rPr>
        <w:tab/>
        <w:t>to consider any proposals which deal with deficiencies in the advance publication, coordination and notification procedures of the Radio Regulations for space services which have either been identified by the Board and included in the Rules of Procedure or which have been identified by administrations or by the Radiocommunication Bureau, as appropriate;</w:t>
      </w:r>
    </w:p>
    <w:p w:rsidR="005617BF" w:rsidRPr="004A5EA2" w:rsidRDefault="005617BF" w:rsidP="005617BF">
      <w:pPr>
        <w:rPr>
          <w:rFonts w:cs="Arial"/>
          <w:szCs w:val="20"/>
        </w:rPr>
      </w:pPr>
      <w:r w:rsidRPr="004A5EA2">
        <w:rPr>
          <w:rFonts w:cs="Arial"/>
          <w:szCs w:val="20"/>
        </w:rPr>
        <w:t>2</w:t>
      </w:r>
      <w:r w:rsidRPr="004A5EA2">
        <w:rPr>
          <w:rFonts w:cs="Arial"/>
          <w:szCs w:val="20"/>
        </w:rPr>
        <w:tab/>
        <w:t>to consider any proposals which are intended to transform the content of the Rules of Procedure into a regulatory text;</w:t>
      </w:r>
    </w:p>
    <w:p w:rsidR="005617BF" w:rsidRPr="004A5EA2" w:rsidRDefault="005617BF" w:rsidP="005617BF">
      <w:pPr>
        <w:rPr>
          <w:rFonts w:cs="Arial"/>
          <w:szCs w:val="20"/>
        </w:rPr>
      </w:pPr>
      <w:r w:rsidRPr="004A5EA2">
        <w:rPr>
          <w:rFonts w:cs="Arial"/>
          <w:szCs w:val="20"/>
        </w:rPr>
        <w:t>3</w:t>
      </w:r>
      <w:r w:rsidRPr="004A5EA2">
        <w:rPr>
          <w:rFonts w:cs="Arial"/>
          <w:szCs w:val="20"/>
        </w:rPr>
        <w:tab/>
        <w:t>to ensure that these procedures, characteristics and appendices reflect the latest technologies, as far as possible;</w:t>
      </w:r>
    </w:p>
    <w:p w:rsidR="005617BF" w:rsidRPr="004A5EA2" w:rsidRDefault="005617BF" w:rsidP="005617BF">
      <w:pPr>
        <w:rPr>
          <w:rFonts w:cs="Arial"/>
          <w:szCs w:val="20"/>
        </w:rPr>
      </w:pPr>
      <w:r w:rsidRPr="004A5EA2">
        <w:rPr>
          <w:rFonts w:cs="Arial"/>
          <w:szCs w:val="20"/>
        </w:rPr>
        <w:t>4</w:t>
      </w:r>
      <w:r w:rsidRPr="004A5EA2">
        <w:rPr>
          <w:rFonts w:cs="Arial"/>
          <w:szCs w:val="20"/>
        </w:rPr>
        <w:tab/>
        <w:t xml:space="preserve">to consider any proposals intended to facilitate, in accordance with Article 44 of the Constitution, the rational, efficient and economical use of radio frequencies and the associated orbits including the geostationary orbit in accordance with </w:t>
      </w:r>
      <w:r w:rsidRPr="004A5EA2">
        <w:rPr>
          <w:rFonts w:cs="Arial"/>
          <w:i/>
          <w:iCs/>
          <w:szCs w:val="20"/>
        </w:rPr>
        <w:t>resolves</w:t>
      </w:r>
      <w:r w:rsidRPr="004A5EA2">
        <w:rPr>
          <w:rFonts w:cs="Arial"/>
          <w:szCs w:val="20"/>
        </w:rPr>
        <w:t xml:space="preserve"> 2 of Resolution </w:t>
      </w:r>
      <w:r w:rsidRPr="004A5EA2">
        <w:rPr>
          <w:rFonts w:cs="Arial"/>
          <w:b/>
          <w:bCs/>
          <w:szCs w:val="20"/>
        </w:rPr>
        <w:t>80 (Rev.WRC</w:t>
      </w:r>
      <w:r w:rsidRPr="004A5EA2">
        <w:rPr>
          <w:rFonts w:cs="Arial"/>
          <w:b/>
          <w:bCs/>
          <w:szCs w:val="20"/>
        </w:rPr>
        <w:noBreakHyphen/>
        <w:t>2000)</w:t>
      </w:r>
      <w:r w:rsidRPr="004A5EA2">
        <w:rPr>
          <w:rFonts w:cs="Arial"/>
          <w:szCs w:val="20"/>
        </w:rPr>
        <w:t xml:space="preserve"> and </w:t>
      </w:r>
      <w:r w:rsidRPr="004A5EA2">
        <w:rPr>
          <w:rFonts w:cs="Arial"/>
          <w:i/>
          <w:iCs/>
          <w:szCs w:val="20"/>
        </w:rPr>
        <w:t>resolves to request the 2003 and subsequent world radiocommunication conferences</w:t>
      </w:r>
      <w:r w:rsidRPr="004A5EA2">
        <w:rPr>
          <w:rFonts w:cs="Arial"/>
          <w:szCs w:val="20"/>
        </w:rPr>
        <w:t xml:space="preserve"> of Resolution 86 (Rev. Marrakesh, 2002) of the Plenipotentiary Conference;</w:t>
      </w:r>
    </w:p>
    <w:p w:rsidR="005617BF" w:rsidRPr="004A5EA2" w:rsidRDefault="005617BF" w:rsidP="005617BF">
      <w:pPr>
        <w:rPr>
          <w:rFonts w:cs="Arial"/>
          <w:szCs w:val="20"/>
        </w:rPr>
      </w:pPr>
      <w:r w:rsidRPr="004A5EA2">
        <w:rPr>
          <w:rFonts w:cs="Arial"/>
          <w:szCs w:val="20"/>
        </w:rPr>
        <w:t>5</w:t>
      </w:r>
      <w:r w:rsidRPr="004A5EA2">
        <w:rPr>
          <w:rFonts w:cs="Arial"/>
          <w:szCs w:val="20"/>
        </w:rPr>
        <w:tab/>
        <w:t>to consider any changes to provisions of the Radio Regulations for space services that would result in the simplification of the procedures and the work of the Bureau and/or administrations;</w:t>
      </w:r>
    </w:p>
    <w:p w:rsidR="005617BF" w:rsidRPr="004A5EA2" w:rsidRDefault="005617BF" w:rsidP="005617BF">
      <w:pPr>
        <w:rPr>
          <w:rFonts w:cs="Arial"/>
          <w:szCs w:val="20"/>
        </w:rPr>
      </w:pPr>
      <w:r w:rsidRPr="004A5EA2">
        <w:rPr>
          <w:rFonts w:cs="Arial"/>
          <w:szCs w:val="20"/>
        </w:rPr>
        <w:t>6</w:t>
      </w:r>
      <w:r w:rsidRPr="004A5EA2">
        <w:rPr>
          <w:rFonts w:cs="Arial"/>
          <w:szCs w:val="20"/>
        </w:rPr>
        <w:tab/>
        <w:t>to consider any changes to the Radio Regulations that follow from decisions of a Plenipotentiary Conference on space matters.</w:t>
      </w:r>
    </w:p>
    <w:p w:rsidR="005617BF" w:rsidRPr="000E19B2" w:rsidRDefault="005617BF" w:rsidP="005617BF">
      <w:pPr>
        <w:pStyle w:val="BodyText"/>
        <w:rPr>
          <w:rFonts w:ascii="Arial" w:hAnsi="Arial" w:cs="Arial"/>
          <w:i/>
          <w:sz w:val="20"/>
        </w:rPr>
      </w:pPr>
      <w:r w:rsidRPr="000E19B2">
        <w:rPr>
          <w:rFonts w:ascii="Arial" w:hAnsi="Arial" w:cs="Arial"/>
          <w:i/>
          <w:sz w:val="20"/>
        </w:rPr>
        <w:lastRenderedPageBreak/>
        <w:t>[NOTE – when it is proposed to consider the incorporation of Rules of Procedures in the Radio Regulations, there is a need to consider the consequential deletion of the corresponding Rules of Procedures]</w:t>
      </w:r>
    </w:p>
    <w:p w:rsidR="005617BF" w:rsidRDefault="005617BF" w:rsidP="005617BF">
      <w:pPr>
        <w:rPr>
          <w:sz w:val="24"/>
        </w:rPr>
      </w:pPr>
      <w:r w:rsidRPr="004A5EA2">
        <w:t xml:space="preserve">WRC-07 considered proposals under the above scope and criteria and also modified Resolution </w:t>
      </w:r>
      <w:r w:rsidRPr="004A5EA2">
        <w:rPr>
          <w:b/>
        </w:rPr>
        <w:t>86 (WRC-03)</w:t>
      </w:r>
      <w:r w:rsidRPr="004A5EA2">
        <w:t xml:space="preserve"> itself so as to create a standing agenda item for future WRCs.</w:t>
      </w:r>
      <w:r w:rsidRPr="003C7560">
        <w:rPr>
          <w:sz w:val="24"/>
        </w:rPr>
        <w:t xml:space="preserve">  </w:t>
      </w:r>
    </w:p>
    <w:p w:rsidR="005617BF" w:rsidRPr="004A5EA2" w:rsidRDefault="005617BF" w:rsidP="005617BF">
      <w:pPr>
        <w:rPr>
          <w:b/>
          <w:sz w:val="24"/>
        </w:rPr>
      </w:pPr>
    </w:p>
    <w:p w:rsidR="005617BF" w:rsidRDefault="005617BF" w:rsidP="005617BF">
      <w:pPr>
        <w:pStyle w:val="ECCParagraph"/>
        <w:rPr>
          <w:lang w:val="en-US"/>
        </w:rPr>
      </w:pPr>
      <w:r>
        <w:rPr>
          <w:lang w:val="en-US"/>
        </w:rPr>
        <w:t>WRC-12 amended the title of the agenda item from the version in the WRC-12 agenda in order to allow for options other than making changes and to clarify the overall goal of the agenda item.</w:t>
      </w:r>
    </w:p>
    <w:p w:rsidR="008018E9" w:rsidRDefault="008018E9" w:rsidP="008018E9">
      <w:pPr>
        <w:pStyle w:val="Heading1"/>
      </w:pPr>
      <w:r w:rsidRPr="005F007F">
        <w:t>List of relevant documents</w:t>
      </w:r>
    </w:p>
    <w:p w:rsidR="008018E9" w:rsidRPr="009744B4" w:rsidRDefault="008018E9" w:rsidP="008018E9">
      <w:pPr>
        <w:pStyle w:val="ECCParagraph"/>
        <w:rPr>
          <w:lang w:val="fr-FR"/>
        </w:rPr>
      </w:pPr>
      <w:r w:rsidRPr="009744B4">
        <w:rPr>
          <w:lang w:val="fr-FR"/>
        </w:rPr>
        <w:t>ITU-Documentation (Recommendations, Reports, other)</w:t>
      </w:r>
    </w:p>
    <w:p w:rsidR="008018E9" w:rsidRPr="009744B4" w:rsidRDefault="008018E9" w:rsidP="008018E9">
      <w:pPr>
        <w:pStyle w:val="ECCParagraph"/>
        <w:rPr>
          <w:lang w:val="fr-FR"/>
        </w:rPr>
      </w:pPr>
      <w:r w:rsidRPr="009744B4">
        <w:rPr>
          <w:lang w:val="fr-FR"/>
        </w:rPr>
        <w:t>CEPT and/or ECC Documentation (Decisions, Recommendations, Reports)</w:t>
      </w:r>
    </w:p>
    <w:p w:rsidR="008018E9" w:rsidRPr="009744B4" w:rsidRDefault="008018E9" w:rsidP="008018E9">
      <w:pPr>
        <w:pStyle w:val="ECCParagraph"/>
        <w:rPr>
          <w:lang w:val="fr-FR"/>
        </w:rPr>
      </w:pPr>
      <w:r w:rsidRPr="009744B4">
        <w:rPr>
          <w:lang w:val="fr-FR"/>
        </w:rPr>
        <w:t>EU Documentation (Directives, Decisions, Recommendations, other), if applicable</w:t>
      </w:r>
    </w:p>
    <w:p w:rsidR="008018E9" w:rsidRDefault="008018E9" w:rsidP="008018E9">
      <w:pPr>
        <w:pStyle w:val="Heading1"/>
      </w:pPr>
      <w:r w:rsidRPr="005F007F">
        <w:t>Actions to be taken</w:t>
      </w:r>
    </w:p>
    <w:p w:rsidR="008018E9" w:rsidRDefault="008018E9" w:rsidP="008018E9">
      <w:pPr>
        <w:pStyle w:val="ECCParagraph"/>
      </w:pPr>
    </w:p>
    <w:p w:rsidR="008018E9" w:rsidRDefault="008018E9" w:rsidP="008018E9">
      <w:pPr>
        <w:pStyle w:val="Heading1"/>
      </w:pPr>
      <w:r w:rsidRPr="002F7B8D">
        <w:t>Relevan</w:t>
      </w:r>
      <w:r w:rsidR="005617BF">
        <w:t>t information from outside CEPT</w:t>
      </w:r>
    </w:p>
    <w:p w:rsidR="008018E9" w:rsidRDefault="008018E9" w:rsidP="008018E9">
      <w:pPr>
        <w:pStyle w:val="Heading2"/>
      </w:pPr>
      <w:r w:rsidRPr="009744B4">
        <w:t>European Union (</w:t>
      </w:r>
      <w:r w:rsidRPr="009744B4">
        <w:rPr>
          <w:caps w:val="0"/>
        </w:rPr>
        <w:t>date of proposal</w:t>
      </w:r>
      <w:r w:rsidRPr="009744B4">
        <w:t>)</w:t>
      </w:r>
    </w:p>
    <w:p w:rsidR="008018E9" w:rsidRPr="0017055A" w:rsidRDefault="008018E9" w:rsidP="008018E9">
      <w:pPr>
        <w:pStyle w:val="ECCParagraph"/>
        <w:rPr>
          <w:lang w:val="en-US"/>
        </w:rPr>
      </w:pPr>
    </w:p>
    <w:p w:rsidR="008018E9" w:rsidRDefault="008018E9" w:rsidP="008018E9">
      <w:pPr>
        <w:pStyle w:val="Heading2"/>
      </w:pPr>
      <w:r w:rsidRPr="002F7B8D">
        <w:t>Regional telecommunication organisations</w:t>
      </w:r>
      <w:r>
        <w:t xml:space="preserve">: </w:t>
      </w:r>
    </w:p>
    <w:p w:rsidR="008018E9"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APT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ATU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Arab Group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CITEL</w:t>
      </w:r>
      <w:r>
        <w:rPr>
          <w:lang w:val="en-US"/>
        </w:rPr>
        <w:t xml:space="preserve"> </w:t>
      </w:r>
      <w:r w:rsidRPr="002F7B8D">
        <w:rPr>
          <w:lang w:val="en-US"/>
        </w:rPr>
        <w:t>(date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RCC (date of proposal)</w:t>
      </w:r>
    </w:p>
    <w:p w:rsidR="008018E9" w:rsidRPr="009744B4" w:rsidRDefault="008018E9" w:rsidP="008018E9">
      <w:pPr>
        <w:pStyle w:val="ECCParagraph"/>
        <w:rPr>
          <w:lang w:val="en-US"/>
        </w:rPr>
      </w:pPr>
    </w:p>
    <w:p w:rsidR="008018E9" w:rsidRPr="002F7B8D" w:rsidRDefault="008018E9" w:rsidP="008018E9">
      <w:pPr>
        <w:pStyle w:val="Heading2"/>
      </w:pPr>
      <w:r w:rsidRPr="002F7B8D">
        <w:lastRenderedPageBreak/>
        <w:t>International organisations</w:t>
      </w:r>
    </w:p>
    <w:p w:rsidR="008018E9"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IATA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ICAO</w:t>
      </w:r>
      <w:r>
        <w:rPr>
          <w:lang w:val="en-US"/>
        </w:rPr>
        <w:t xml:space="preserve"> </w:t>
      </w:r>
      <w:r w:rsidRPr="006E671C">
        <w:rPr>
          <w:lang w:val="en-US"/>
        </w:rPr>
        <w:t>(date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IMO</w:t>
      </w:r>
      <w:r>
        <w:rPr>
          <w:lang w:val="en-US"/>
        </w:rPr>
        <w:t xml:space="preserve"> </w:t>
      </w:r>
      <w:r w:rsidRPr="002F7B8D">
        <w:rPr>
          <w:lang w:val="en-US"/>
        </w:rPr>
        <w:t>(date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NATO</w:t>
      </w:r>
      <w:r>
        <w:rPr>
          <w:lang w:val="en-US"/>
        </w:rPr>
        <w:t xml:space="preserve"> </w:t>
      </w:r>
      <w:r w:rsidRPr="002F7B8D">
        <w:rPr>
          <w:lang w:val="en-US"/>
        </w:rPr>
        <w:t>(date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SFCG (date of proposal)</w:t>
      </w:r>
    </w:p>
    <w:p w:rsidR="008018E9" w:rsidRPr="002F7B8D" w:rsidRDefault="008018E9" w:rsidP="008018E9">
      <w:pPr>
        <w:pStyle w:val="ECCParagraph"/>
        <w:rPr>
          <w:lang w:val="en-US"/>
        </w:rPr>
      </w:pPr>
    </w:p>
    <w:p w:rsidR="008018E9" w:rsidRPr="002F7B8D" w:rsidRDefault="008018E9" w:rsidP="008018E9">
      <w:pPr>
        <w:pStyle w:val="ECCParagraph"/>
        <w:rPr>
          <w:lang w:val="en-US"/>
        </w:rPr>
      </w:pPr>
      <w:r w:rsidRPr="002F7B8D">
        <w:rPr>
          <w:lang w:val="en-US"/>
        </w:rPr>
        <w:t>WMO and EUMETNET (date of proposal)</w:t>
      </w:r>
    </w:p>
    <w:p w:rsidR="008018E9" w:rsidRPr="009744B4" w:rsidRDefault="008018E9" w:rsidP="008018E9">
      <w:pPr>
        <w:pStyle w:val="ECCParagraph"/>
        <w:rPr>
          <w:lang w:val="en-US"/>
        </w:rPr>
      </w:pPr>
    </w:p>
    <w:p w:rsidR="008018E9" w:rsidRPr="002F7B8D" w:rsidRDefault="008018E9" w:rsidP="008018E9">
      <w:pPr>
        <w:pStyle w:val="Heading2"/>
      </w:pPr>
      <w:r w:rsidRPr="002F7B8D">
        <w:t>Regional organisations</w:t>
      </w:r>
    </w:p>
    <w:p w:rsidR="008018E9" w:rsidRDefault="008018E9" w:rsidP="008018E9">
      <w:pPr>
        <w:pStyle w:val="ECCParagraph"/>
        <w:rPr>
          <w:lang w:val="en-US"/>
        </w:rPr>
      </w:pPr>
    </w:p>
    <w:p w:rsidR="008018E9" w:rsidRDefault="008018E9" w:rsidP="008018E9">
      <w:pPr>
        <w:pStyle w:val="ECCParagraph"/>
        <w:rPr>
          <w:lang w:val="en-US"/>
        </w:rPr>
      </w:pPr>
      <w:r w:rsidRPr="002F7B8D">
        <w:rPr>
          <w:lang w:val="en-US"/>
        </w:rPr>
        <w:t>ESA</w:t>
      </w:r>
      <w:r>
        <w:rPr>
          <w:lang w:val="en-US"/>
        </w:rPr>
        <w:t xml:space="preserve"> </w:t>
      </w:r>
      <w:r w:rsidRPr="002F7B8D">
        <w:rPr>
          <w:lang w:val="en-US"/>
        </w:rPr>
        <w:t>(date of proposal)</w:t>
      </w:r>
    </w:p>
    <w:p w:rsidR="008018E9" w:rsidRPr="002F7B8D" w:rsidRDefault="008018E9" w:rsidP="008018E9">
      <w:pPr>
        <w:pStyle w:val="ECCParagraph"/>
        <w:rPr>
          <w:lang w:val="en-US"/>
        </w:rPr>
      </w:pPr>
    </w:p>
    <w:p w:rsidR="008018E9" w:rsidRDefault="008018E9" w:rsidP="008018E9">
      <w:pPr>
        <w:pStyle w:val="ECCParagraph"/>
        <w:rPr>
          <w:lang w:val="en-US"/>
        </w:rPr>
      </w:pPr>
      <w:r w:rsidRPr="002F7B8D">
        <w:rPr>
          <w:lang w:val="en-US"/>
        </w:rPr>
        <w:t>EUMETNET (date of proposal)</w:t>
      </w:r>
    </w:p>
    <w:p w:rsidR="008018E9" w:rsidRPr="002F7B8D" w:rsidRDefault="008018E9" w:rsidP="008018E9">
      <w:pPr>
        <w:pStyle w:val="ECCParagraph"/>
        <w:rPr>
          <w:lang w:val="en-US"/>
        </w:rPr>
      </w:pPr>
    </w:p>
    <w:p w:rsidR="008A54FC" w:rsidRPr="000A672F" w:rsidRDefault="008018E9" w:rsidP="008A54FC">
      <w:pPr>
        <w:pStyle w:val="ECCParagraph"/>
      </w:pPr>
      <w:proofErr w:type="spellStart"/>
      <w:r w:rsidRPr="002F7B8D">
        <w:rPr>
          <w:lang w:val="en-US"/>
        </w:rPr>
        <w:t>Eurocontrol</w:t>
      </w:r>
      <w:proofErr w:type="spellEnd"/>
      <w:r>
        <w:rPr>
          <w:lang w:val="en-US"/>
        </w:rPr>
        <w:t xml:space="preserve"> </w:t>
      </w:r>
      <w:r w:rsidRPr="002F7B8D">
        <w:rPr>
          <w:lang w:val="en-US"/>
        </w:rPr>
        <w:t>(date of proposal)</w:t>
      </w:r>
    </w:p>
    <w:sectPr w:rsidR="008A54FC" w:rsidRPr="000A672F" w:rsidSect="00DC58F0">
      <w:headerReference w:type="even" r:id="rId9"/>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F92" w:rsidRDefault="00846F92" w:rsidP="008A54FC">
      <w:r>
        <w:separator/>
      </w:r>
    </w:p>
  </w:endnote>
  <w:endnote w:type="continuationSeparator" w:id="0">
    <w:p w:rsidR="00846F92" w:rsidRDefault="00846F92"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F92" w:rsidRDefault="00846F92" w:rsidP="008A54FC">
      <w:r>
        <w:separator/>
      </w:r>
    </w:p>
  </w:footnote>
  <w:footnote w:type="continuationSeparator" w:id="0">
    <w:p w:rsidR="00846F92" w:rsidRDefault="00846F92"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8F0" w:rsidRPr="005F4F01" w:rsidRDefault="00DC58F0">
    <w:pPr>
      <w:pStyle w:val="Header"/>
      <w:rPr>
        <w:szCs w:val="16"/>
        <w:lang w:val="en-GB"/>
      </w:rPr>
    </w:pPr>
    <w:r w:rsidRPr="005F4F01">
      <w:rPr>
        <w:lang w:val="en-GB"/>
      </w:rPr>
      <w:t xml:space="preserve">Draft CEPT Brief on AI </w:t>
    </w:r>
    <w:r>
      <w:rPr>
        <w:lang w:val="en-GB"/>
      </w:rPr>
      <w:t>7</w:t>
    </w:r>
    <w:r w:rsidRPr="005F4F01">
      <w:rPr>
        <w:lang w:val="en-GB"/>
      </w:rPr>
      <w:t xml:space="preserve">  </w:t>
    </w:r>
    <w:r w:rsidRPr="005F4F01">
      <w:rPr>
        <w:szCs w:val="16"/>
        <w:lang w:val="en-GB"/>
      </w:rPr>
      <w:t xml:space="preserve">Page </w:t>
    </w:r>
    <w:r w:rsidR="00C67CDB">
      <w:fldChar w:fldCharType="begin"/>
    </w:r>
    <w:r>
      <w:instrText xml:space="preserve"> PAGE  \* Arabic  \* MERGEFORMAT </w:instrText>
    </w:r>
    <w:r w:rsidR="00C67CDB">
      <w:fldChar w:fldCharType="separate"/>
    </w:r>
    <w:r w:rsidR="006B3286" w:rsidRPr="006B3286">
      <w:rPr>
        <w:noProof/>
        <w:szCs w:val="16"/>
        <w:lang w:val="en-GB"/>
      </w:rPr>
      <w:t>2</w:t>
    </w:r>
    <w:r w:rsidR="00C67CDB">
      <w:rPr>
        <w:noProof/>
        <w:szCs w:val="16"/>
        <w:lang w:val="da-D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nsid w:val="66E36C84"/>
    <w:multiLevelType w:val="multilevel"/>
    <w:tmpl w:val="FCEC7FBC"/>
    <w:numStyleLink w:val="ECCBullets"/>
  </w:abstractNum>
  <w:abstractNum w:abstractNumId="14">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5"/>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3"/>
  </w:num>
  <w:num w:numId="10">
    <w:abstractNumId w:val="11"/>
  </w:num>
  <w:num w:numId="11">
    <w:abstractNumId w:val="7"/>
  </w:num>
  <w:num w:numId="12">
    <w:abstractNumId w:val="3"/>
  </w:num>
  <w:num w:numId="13">
    <w:abstractNumId w:val="1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2"/>
  </w:compat>
  <w:rsids>
    <w:rsidRoot w:val="00B555F3"/>
    <w:rsid w:val="00005CA4"/>
    <w:rsid w:val="000272B2"/>
    <w:rsid w:val="00052664"/>
    <w:rsid w:val="00067793"/>
    <w:rsid w:val="00082DD7"/>
    <w:rsid w:val="000B4959"/>
    <w:rsid w:val="000C028F"/>
    <w:rsid w:val="000E19B2"/>
    <w:rsid w:val="000E42F5"/>
    <w:rsid w:val="000F5805"/>
    <w:rsid w:val="001554BD"/>
    <w:rsid w:val="00165220"/>
    <w:rsid w:val="0017055A"/>
    <w:rsid w:val="00183FE0"/>
    <w:rsid w:val="001A123D"/>
    <w:rsid w:val="001E440D"/>
    <w:rsid w:val="00274F84"/>
    <w:rsid w:val="00285E70"/>
    <w:rsid w:val="002930E9"/>
    <w:rsid w:val="0029448B"/>
    <w:rsid w:val="002B4833"/>
    <w:rsid w:val="002C24D8"/>
    <w:rsid w:val="002F5286"/>
    <w:rsid w:val="003147D9"/>
    <w:rsid w:val="00372013"/>
    <w:rsid w:val="00375238"/>
    <w:rsid w:val="003860FD"/>
    <w:rsid w:val="003872D7"/>
    <w:rsid w:val="003F0C5D"/>
    <w:rsid w:val="004110CA"/>
    <w:rsid w:val="004E50F1"/>
    <w:rsid w:val="00550D79"/>
    <w:rsid w:val="00557B5A"/>
    <w:rsid w:val="005617BF"/>
    <w:rsid w:val="00594186"/>
    <w:rsid w:val="005B3CCE"/>
    <w:rsid w:val="005C10EB"/>
    <w:rsid w:val="005E4586"/>
    <w:rsid w:val="005E6B94"/>
    <w:rsid w:val="005F4F01"/>
    <w:rsid w:val="00604114"/>
    <w:rsid w:val="006254E8"/>
    <w:rsid w:val="006A24A5"/>
    <w:rsid w:val="006A2A56"/>
    <w:rsid w:val="006B3286"/>
    <w:rsid w:val="006F0D75"/>
    <w:rsid w:val="006F54B3"/>
    <w:rsid w:val="00714324"/>
    <w:rsid w:val="00734A4F"/>
    <w:rsid w:val="00763BA3"/>
    <w:rsid w:val="00767BB2"/>
    <w:rsid w:val="00780376"/>
    <w:rsid w:val="00783854"/>
    <w:rsid w:val="00797D4C"/>
    <w:rsid w:val="007A7398"/>
    <w:rsid w:val="008018E9"/>
    <w:rsid w:val="00840CD8"/>
    <w:rsid w:val="00846F92"/>
    <w:rsid w:val="008624C5"/>
    <w:rsid w:val="008A54FC"/>
    <w:rsid w:val="008B70CD"/>
    <w:rsid w:val="008D7A4F"/>
    <w:rsid w:val="008F6CDE"/>
    <w:rsid w:val="00916186"/>
    <w:rsid w:val="00925A32"/>
    <w:rsid w:val="00941FD2"/>
    <w:rsid w:val="009744B4"/>
    <w:rsid w:val="009755AC"/>
    <w:rsid w:val="00983AA0"/>
    <w:rsid w:val="00987249"/>
    <w:rsid w:val="009E47EB"/>
    <w:rsid w:val="009F7943"/>
    <w:rsid w:val="00A076B5"/>
    <w:rsid w:val="00A10852"/>
    <w:rsid w:val="00A66106"/>
    <w:rsid w:val="00A71344"/>
    <w:rsid w:val="00A74DD8"/>
    <w:rsid w:val="00A83440"/>
    <w:rsid w:val="00A95ACB"/>
    <w:rsid w:val="00AA086A"/>
    <w:rsid w:val="00AB00A4"/>
    <w:rsid w:val="00B25463"/>
    <w:rsid w:val="00B30D3B"/>
    <w:rsid w:val="00B432D4"/>
    <w:rsid w:val="00B555F3"/>
    <w:rsid w:val="00B93E30"/>
    <w:rsid w:val="00C075BF"/>
    <w:rsid w:val="00C67CDB"/>
    <w:rsid w:val="00C71720"/>
    <w:rsid w:val="00D1389E"/>
    <w:rsid w:val="00D14A92"/>
    <w:rsid w:val="00D87509"/>
    <w:rsid w:val="00DA7992"/>
    <w:rsid w:val="00DC58F0"/>
    <w:rsid w:val="00DD057B"/>
    <w:rsid w:val="00DF2C67"/>
    <w:rsid w:val="00E14B87"/>
    <w:rsid w:val="00E35508"/>
    <w:rsid w:val="00E67E22"/>
    <w:rsid w:val="00E71AE7"/>
    <w:rsid w:val="00E81E31"/>
    <w:rsid w:val="00E9603E"/>
    <w:rsid w:val="00EA6088"/>
    <w:rsid w:val="00EB2A02"/>
    <w:rsid w:val="00F56476"/>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ECCParagraph">
    <w:name w:val="ECCBullets"/>
    <w:pPr>
      <w:numPr>
        <w:numId w:val="8"/>
      </w:numPr>
    </w:pPr>
  </w:style>
  <w:style w:type="numbering" w:customStyle="1" w:styleId="ECCParBulleted">
    <w:name w:val="ECCNumbers-Letters"/>
    <w:pPr>
      <w:numPr>
        <w:numId w:val="16"/>
      </w:numPr>
    </w:pPr>
  </w:style>
  <w:style w:type="numbering" w:customStyle="1" w:styleId="Header">
    <w:name w:val="ECCNumbers-Bullets"/>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633032">
      <w:bodyDiv w:val="1"/>
      <w:marLeft w:val="0"/>
      <w:marRight w:val="0"/>
      <w:marTop w:val="0"/>
      <w:marBottom w:val="0"/>
      <w:divBdr>
        <w:top w:val="none" w:sz="0" w:space="0" w:color="auto"/>
        <w:left w:val="none" w:sz="0" w:space="0" w:color="auto"/>
        <w:bottom w:val="none" w:sz="0" w:space="0" w:color="auto"/>
        <w:right w:val="none" w:sz="0" w:space="0" w:color="auto"/>
      </w:divBdr>
    </w:div>
    <w:div w:id="17471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CEPT%20Files\2012-2015\CPG%20PTB\1%20Meeting%20London%20September%202012\Template-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91D47-2CDE-465F-B413-3B0D20244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brief.dotx</Template>
  <TotalTime>11</TotalTime>
  <Pages>3</Pages>
  <Words>656</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New ECC Report Style</vt:lpstr>
      <vt:lpstr>New ECC Report Style</vt:lpstr>
    </vt:vector>
  </TitlesOfParts>
  <Company>ECO</Company>
  <LinksUpToDate>false</LinksUpToDate>
  <CharactersWithSpaces>4391</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shienok</dc:creator>
  <dc:description>This template is used as guidance to draft ECC Reports.</dc:description>
  <cp:lastModifiedBy>wesley.milton</cp:lastModifiedBy>
  <cp:revision>9</cp:revision>
  <cp:lastPrinted>1901-01-01T00:00:00Z</cp:lastPrinted>
  <dcterms:created xsi:type="dcterms:W3CDTF">2012-09-07T05:01:00Z</dcterms:created>
  <dcterms:modified xsi:type="dcterms:W3CDTF">2013-01-24T14:11:00Z</dcterms:modified>
</cp:coreProperties>
</file>